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ascii="方正小标宋_GBK" w:hAnsi="微软雅黑" w:eastAsia="方正小标宋_GBK" w:cs="宋体"/>
          <w:b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widowControl/>
        <w:shd w:val="clear" w:color="auto" w:fill="FFFFFF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尖扎县司法局</w:t>
      </w:r>
    </w:p>
    <w:p>
      <w:pPr>
        <w:widowControl/>
        <w:shd w:val="clear" w:color="auto" w:fill="FFFFFF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666666"/>
          <w:kern w:val="0"/>
          <w:sz w:val="22"/>
          <w:szCs w:val="2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2020年政府信息公开工作年度报告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exact"/>
        <w:ind w:firstLine="640" w:firstLineChars="200"/>
        <w:jc w:val="left"/>
        <w:textAlignment w:val="auto"/>
        <w:rPr>
          <w:rFonts w:hint="eastAsia" w:ascii="仿宋" w:hAnsi="仿宋" w:eastAsia="仿宋"/>
          <w:color w:val="000000"/>
          <w:sz w:val="32"/>
          <w:shd w:val="clear" w:color="auto" w:fill="FFFFFF"/>
        </w:rPr>
      </w:pPr>
    </w:p>
    <w:p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/>
          <w:color w:val="000000"/>
          <w:sz w:val="32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本报告依据《中华人民共和国政府信息公开条例》（以下简称《条例》）和《青海省实施〈中华人民共和国政府信息公开条例〉办法》（以下简称《实施办法》）要求编制。报告中所列数据的统计期限自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2020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年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1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月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1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日起，至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2020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年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12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月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31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日止。对本报告如有疑问，请联系：</w:t>
      </w:r>
      <w:r>
        <w:rPr>
          <w:rFonts w:hint="eastAsia" w:ascii="仿宋" w:hAnsi="仿宋" w:eastAsia="仿宋"/>
          <w:color w:val="000000"/>
          <w:sz w:val="32"/>
          <w:shd w:val="clear" w:color="auto" w:fill="FFFFFF"/>
          <w:lang w:eastAsia="zh-CN"/>
        </w:rPr>
        <w:t>德杨措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 xml:space="preserve"> （0973- </w:t>
      </w:r>
      <w:r>
        <w:rPr>
          <w:rFonts w:hint="eastAsia" w:ascii="仿宋" w:hAnsi="仿宋" w:eastAsia="仿宋"/>
          <w:color w:val="000000"/>
          <w:sz w:val="32"/>
          <w:shd w:val="clear" w:color="auto" w:fill="FFFFFF"/>
          <w:lang w:val="en-US" w:eastAsia="zh-CN"/>
        </w:rPr>
        <w:t>8733395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 xml:space="preserve"> ）。</w:t>
      </w:r>
    </w:p>
    <w:p>
      <w:pPr>
        <w:widowControl/>
        <w:numPr>
          <w:ilvl w:val="0"/>
          <w:numId w:val="0"/>
        </w:numPr>
        <w:shd w:val="clear" w:color="auto" w:fill="FFFFFF"/>
        <w:ind w:firstLine="640" w:firstLineChars="200"/>
        <w:jc w:val="left"/>
        <w:rPr>
          <w:rFonts w:hint="eastAsia"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lang w:eastAsia="zh-CN"/>
        </w:rPr>
        <w:t>一、</w:t>
      </w:r>
      <w:r>
        <w:rPr>
          <w:rFonts w:hint="eastAsia" w:ascii="黑体" w:hAnsi="黑体" w:eastAsia="黑体" w:cs="宋体"/>
          <w:color w:val="000000"/>
          <w:kern w:val="0"/>
          <w:sz w:val="32"/>
        </w:rPr>
        <w:t>总体情况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0" w:lineRule="atLeast"/>
        <w:ind w:right="0" w:firstLine="640" w:firstLineChars="200"/>
        <w:jc w:val="both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</w:t>
      </w: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年，我局深入贯彻落实政府信息公开制度，认真执行政务信息公开相关制度和要求，强化责任落实，完善工作机制，以保障人民群众依法获取信息，方便群众办事，密切我局同人民群众的联系为重点，在公开、透明的基础之上不断创新公开机制，拓展公开形式，丰富公开内容，充分发挥司法行政政务公开对人民群众生产、生活和经济社会的服务作用,促进了机关效能建设和政务公开工作的进一步深化，使我局的信息公开工作基本实现了规范化、制度化。我局主要开展了以下几个方面工作：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0" w:lineRule="atLeast"/>
        <w:ind w:left="0" w:right="0" w:firstLine="640"/>
        <w:jc w:val="both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（一）强化组织领导。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及时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调整尖扎县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司法局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政务公开工作领导小组。成立了由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县司法局局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长任组长、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副局长张文莉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兼任办公室主任、各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科室负责人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为成员的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政务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公开工作领导小组，领导小组下设办公室，做到了领导、机构、人员“三到位”。明确工作职责，责任落实到人，确保信息公开透明。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0" w:lineRule="atLeast"/>
        <w:ind w:right="0" w:firstLine="643" w:firstLineChars="200"/>
        <w:jc w:val="both"/>
        <w:rPr>
          <w:rFonts w:hint="default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（二）</w:t>
      </w:r>
      <w:r>
        <w:rPr>
          <w:rFonts w:hint="default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建立完善的政务公开工作机制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0" w:lineRule="atLeast"/>
        <w:ind w:right="0" w:firstLine="640" w:firstLineChars="200"/>
        <w:jc w:val="both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局领导十分重视政府信息公开工作，把它作为一项重要内容来抓。各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科</w:t>
      </w: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室进一步统一思想，把政府信息公开的实施工作列入重要议事日程，立足实际、周密部署，注重实效，深入持久地推进政府信息公开工作的开展，使全局上下形成了政务信息公开的工作格局。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0" w:lineRule="atLeast"/>
        <w:ind w:right="0" w:firstLine="643" w:firstLineChars="200"/>
        <w:jc w:val="both"/>
        <w:rPr>
          <w:rFonts w:hint="default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（三）</w:t>
      </w:r>
      <w:r>
        <w:rPr>
          <w:rFonts w:hint="default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加大政务公开认知度透明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0" w:lineRule="atLeast"/>
        <w:ind w:right="0" w:firstLine="640" w:firstLineChars="200"/>
        <w:jc w:val="both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一是</w:t>
      </w: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加强宣传力度。我局为步方便群众办事，依托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尖扎普法</w:t>
      </w: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微信公众号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、12348服务热线等方式</w:t>
      </w: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，不断满足公众对政府信息公开的需求。将有关业务和最新的办事结果公开并与群众互动交流，提高工作透明度，主动接受群众监督。 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0" w:lineRule="atLeast"/>
        <w:ind w:right="0" w:firstLine="640" w:firstLineChars="200"/>
        <w:jc w:val="both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二是</w:t>
      </w: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加强政务信息公开水平。加强对政务公开、办事公开工作的指导，针对工作中的热点、难点问题，认真开展调查研究，不断改进和提升政务公开和服务工作的质量和水平。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0" w:lineRule="atLeast"/>
        <w:ind w:right="0" w:firstLine="640" w:firstLineChars="200"/>
        <w:jc w:val="both"/>
        <w:rPr>
          <w:rFonts w:hint="eastAsia" w:ascii="黑体" w:hAnsi="黑体" w:eastAsia="黑体" w:cs="宋体"/>
          <w:color w:val="000000"/>
          <w:kern w:val="0"/>
          <w:sz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三是</w:t>
      </w: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加强对信息公开工作的宣传和学习培训。我局采取多种方式，扩大全局对信息公开工作的知晓率与认知度，做好信息公开工作的宣传和学习培训工作。</w:t>
      </w:r>
    </w:p>
    <w:p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二、主动公开政府信息情况</w:t>
      </w:r>
    </w:p>
    <w:tbl>
      <w:tblPr>
        <w:tblStyle w:val="5"/>
        <w:tblW w:w="10206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21"/>
        <w:gridCol w:w="1084"/>
        <w:gridCol w:w="2009"/>
        <w:gridCol w:w="1036"/>
        <w:gridCol w:w="1233"/>
        <w:gridCol w:w="242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第二十条第（一）项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本年新制作数量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本年新公开数量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对外公开总数量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规章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规范性文件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第二十条第（五）项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上一年项目数量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本年增/减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处理决定数量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行政许可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减少3项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其他对外管理服务事项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42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增加22项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第二十条第（六）项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上一年项目数量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本年增/减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处理决定数量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行政处罚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72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增加2项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行政强制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第二十条第（八）项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上一年项目数量</w:t>
            </w:r>
          </w:p>
        </w:tc>
        <w:tc>
          <w:tcPr>
            <w:tcW w:w="58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本年增/减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行政事业性收费</w:t>
            </w:r>
          </w:p>
        </w:tc>
        <w:tc>
          <w:tcPr>
            <w:tcW w:w="5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1项</w:t>
            </w:r>
          </w:p>
        </w:tc>
        <w:tc>
          <w:tcPr>
            <w:tcW w:w="58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增加1项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第二十条第（九）项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采购项目数量</w:t>
            </w:r>
          </w:p>
        </w:tc>
        <w:tc>
          <w:tcPr>
            <w:tcW w:w="58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采购总金额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政府集中采购</w:t>
            </w:r>
          </w:p>
        </w:tc>
        <w:tc>
          <w:tcPr>
            <w:tcW w:w="5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14</w:t>
            </w:r>
          </w:p>
        </w:tc>
        <w:tc>
          <w:tcPr>
            <w:tcW w:w="58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68.11万</w:t>
            </w:r>
          </w:p>
        </w:tc>
      </w:tr>
    </w:tbl>
    <w:p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三、收到和处理政府信息公开申请情况</w:t>
      </w:r>
    </w:p>
    <w:tbl>
      <w:tblPr>
        <w:tblStyle w:val="5"/>
        <w:tblW w:w="10206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39"/>
        <w:gridCol w:w="923"/>
        <w:gridCol w:w="3440"/>
        <w:gridCol w:w="503"/>
        <w:gridCol w:w="688"/>
        <w:gridCol w:w="1041"/>
        <w:gridCol w:w="923"/>
        <w:gridCol w:w="789"/>
        <w:gridCol w:w="571"/>
        <w:gridCol w:w="789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335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（本列数据的勾稽关系为：第一项加第二项之和，等于第三项加第四项之和）</w:t>
            </w:r>
          </w:p>
        </w:tc>
        <w:tc>
          <w:tcPr>
            <w:tcW w:w="472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申请人情况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5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自然人</w:t>
            </w:r>
          </w:p>
        </w:tc>
        <w:tc>
          <w:tcPr>
            <w:tcW w:w="358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法人或其他组织</w:t>
            </w:r>
          </w:p>
        </w:tc>
        <w:tc>
          <w:tcPr>
            <w:tcW w:w="67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商业企业</w:t>
            </w: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科研机构</w:t>
            </w: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社会公益组织</w:t>
            </w: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法律服务机构</w:t>
            </w: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其他</w:t>
            </w: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3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  <w:t>一、本年新收政府信息公开申请数量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color w:val="0000FF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3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  <w:t>二、上年结转政府信息公开申请数量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3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  <w:t>三、本年度办理结果</w:t>
            </w:r>
          </w:p>
        </w:tc>
        <w:tc>
          <w:tcPr>
            <w:tcW w:w="39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（一）予以公开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9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（二）部分公开（区分处理的，只计这一情形，不计其他情形）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vMerge w:val="restart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（三）不予公开</w:t>
            </w: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1.属于国家秘密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2.其他法律行政法规禁止公开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3.危及“三安全一稳定”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4.保护第三方合法权益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5.属于三类内部事务信息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6.属于四类过程性信息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7.属于行政执法案卷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8.属于行政查询事项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（四）无法提供</w:t>
            </w: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1.本机关不掌握相关政府信息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2.没有现成信息需要另行制作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3.补正后申请内容仍不明确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（五）不予处理</w:t>
            </w: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1.信访举报投诉类申请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2.重复申请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3.要求提供公开出版物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4.无正当理由大量反复申请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5.要求行政机关确认或重新出具已获取信息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9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（六）其他处理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9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（七）总计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3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楷体_GB2312" w:hAnsi="宋体" w:eastAsia="楷体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  <w:t>四、结转下年度继续办理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</w:tbl>
    <w:p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四、政府信息公开行政复议、行政诉讼情况</w:t>
      </w:r>
    </w:p>
    <w:tbl>
      <w:tblPr>
        <w:tblStyle w:val="5"/>
        <w:tblW w:w="10206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77"/>
        <w:gridCol w:w="677"/>
        <w:gridCol w:w="677"/>
        <w:gridCol w:w="677"/>
        <w:gridCol w:w="745"/>
        <w:gridCol w:w="609"/>
        <w:gridCol w:w="677"/>
        <w:gridCol w:w="677"/>
        <w:gridCol w:w="677"/>
        <w:gridCol w:w="711"/>
        <w:gridCol w:w="677"/>
        <w:gridCol w:w="677"/>
        <w:gridCol w:w="677"/>
        <w:gridCol w:w="677"/>
        <w:gridCol w:w="694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45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行政复议</w:t>
            </w:r>
          </w:p>
        </w:tc>
        <w:tc>
          <w:tcPr>
            <w:tcW w:w="675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行政诉讼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67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结果维持</w:t>
            </w:r>
          </w:p>
        </w:tc>
        <w:tc>
          <w:tcPr>
            <w:tcW w:w="67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结果纠正</w:t>
            </w:r>
          </w:p>
        </w:tc>
        <w:tc>
          <w:tcPr>
            <w:tcW w:w="67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其他结果</w:t>
            </w:r>
          </w:p>
        </w:tc>
        <w:tc>
          <w:tcPr>
            <w:tcW w:w="67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尚未审结</w:t>
            </w:r>
          </w:p>
        </w:tc>
        <w:tc>
          <w:tcPr>
            <w:tcW w:w="74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总计</w:t>
            </w:r>
          </w:p>
        </w:tc>
        <w:tc>
          <w:tcPr>
            <w:tcW w:w="335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未经复议直接起诉</w:t>
            </w:r>
          </w:p>
        </w:tc>
        <w:tc>
          <w:tcPr>
            <w:tcW w:w="340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复议后起诉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结果维持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结果纠正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其他结果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尚未审结</w:t>
            </w:r>
          </w:p>
        </w:tc>
        <w:tc>
          <w:tcPr>
            <w:tcW w:w="7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总计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结果维持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结果纠正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其他结果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尚未审结</w:t>
            </w:r>
          </w:p>
        </w:tc>
        <w:tc>
          <w:tcPr>
            <w:tcW w:w="6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widowControl/>
        <w:numPr>
          <w:ilvl w:val="0"/>
          <w:numId w:val="1"/>
        </w:numPr>
        <w:shd w:val="clear" w:color="auto" w:fill="FFFFFF"/>
        <w:ind w:firstLine="640" w:firstLineChars="200"/>
        <w:jc w:val="left"/>
        <w:rPr>
          <w:rFonts w:hint="eastAsia"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存在的主要问题及改进情况</w:t>
      </w:r>
    </w:p>
    <w:p>
      <w:pPr>
        <w:widowControl/>
        <w:numPr>
          <w:ilvl w:val="0"/>
          <w:numId w:val="0"/>
        </w:numPr>
        <w:shd w:val="clear" w:color="auto" w:fill="FFFFFF"/>
        <w:ind w:firstLine="321" w:firstLineChars="100"/>
        <w:jc w:val="left"/>
        <w:rPr>
          <w:rFonts w:hint="eastAsia" w:ascii="楷体_GB2312" w:hAnsi="宋体" w:eastAsia="楷体_GB2312" w:cs="宋体"/>
          <w:b/>
          <w:bCs/>
          <w:color w:val="000000"/>
          <w:kern w:val="0"/>
          <w:sz w:val="32"/>
        </w:rPr>
      </w:pP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</w:rPr>
        <w:t>（一）存在问题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 w:firstLine="640" w:firstLineChars="200"/>
        <w:jc w:val="both"/>
        <w:rPr>
          <w:rFonts w:hint="default" w:ascii="仿宋" w:hAnsi="仿宋" w:eastAsia="仿宋" w:cstheme="minorBidi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</w:pPr>
      <w:r>
        <w:rPr>
          <w:rFonts w:hint="eastAsia" w:ascii="仿宋" w:hAnsi="仿宋" w:eastAsia="仿宋" w:cstheme="minorBidi"/>
          <w:b w:val="0"/>
          <w:bCs w:val="0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  <w:t>一是</w:t>
      </w:r>
      <w:r>
        <w:rPr>
          <w:rFonts w:hint="default" w:ascii="仿宋" w:hAnsi="仿宋" w:eastAsia="仿宋" w:cstheme="minorBidi"/>
          <w:b w:val="0"/>
          <w:bCs w:val="0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  <w:t>统一认识，进一步完善政府信息公开工作机制。</w:t>
      </w:r>
      <w:r>
        <w:rPr>
          <w:rFonts w:hint="default" w:ascii="仿宋" w:hAnsi="仿宋" w:eastAsia="仿宋" w:cstheme="minorBidi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  <w:t>继续贯彻落实县政府关于政务信息公开的有关规定，加强对政府信息公开工作的领导，明确责任，增强开展政府信息公开工作的责任意识，树立为民服务和自觉接受监督意识，对各类信息做到及时清理和更新，严格按照规定的内容、程序、形式和时限进行公开，切实保障社会公众的知情权、参与权和监督权，使政府信息公开工作更加充分、有效地发挥好促进依法行政、服务社会公众的重要作用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 w:firstLine="640" w:firstLineChars="200"/>
        <w:jc w:val="both"/>
        <w:rPr>
          <w:rFonts w:hint="default" w:ascii="仿宋" w:hAnsi="仿宋" w:eastAsia="仿宋" w:cstheme="minorBidi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</w:pPr>
      <w:r>
        <w:rPr>
          <w:rFonts w:hint="eastAsia" w:ascii="仿宋" w:hAnsi="仿宋" w:eastAsia="仿宋" w:cstheme="minorBidi"/>
          <w:b w:val="0"/>
          <w:bCs w:val="0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  <w:t>二是</w:t>
      </w:r>
      <w:r>
        <w:rPr>
          <w:rFonts w:hint="default" w:ascii="仿宋" w:hAnsi="仿宋" w:eastAsia="仿宋" w:cstheme="minorBidi"/>
          <w:b w:val="0"/>
          <w:bCs w:val="0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  <w:t>强化宣传，进一步搞好政务公开宣传工作。</w:t>
      </w:r>
      <w:r>
        <w:rPr>
          <w:rFonts w:hint="default" w:ascii="仿宋" w:hAnsi="仿宋" w:eastAsia="仿宋" w:cstheme="minorBidi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  <w:t>加大宣传力度，增强局系统全体人员的公开意识，使政务公开与业务工作一起，同步推进，同步落实。同时通过外宣方式，将司法行政工作的各项最新进展通过政务公开的平台，及时告知公众，增强司法行政工作的透明度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 w:firstLine="640" w:firstLineChars="200"/>
        <w:jc w:val="both"/>
        <w:rPr>
          <w:rFonts w:hint="default" w:ascii="仿宋" w:hAnsi="仿宋" w:eastAsia="仿宋" w:cstheme="minorBidi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</w:pPr>
      <w:r>
        <w:rPr>
          <w:rFonts w:hint="eastAsia" w:ascii="仿宋" w:hAnsi="仿宋" w:eastAsia="仿宋" w:cstheme="minorBidi"/>
          <w:b w:val="0"/>
          <w:bCs w:val="0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  <w:t>三是</w:t>
      </w:r>
      <w:r>
        <w:rPr>
          <w:rFonts w:hint="default" w:ascii="仿宋" w:hAnsi="仿宋" w:eastAsia="仿宋" w:cstheme="minorBidi"/>
          <w:b w:val="0"/>
          <w:bCs w:val="0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  <w:t>优化流程，抓好机关效能建设。</w:t>
      </w:r>
      <w:r>
        <w:rPr>
          <w:rFonts w:hint="default" w:ascii="仿宋" w:hAnsi="仿宋" w:eastAsia="仿宋" w:cstheme="minorBidi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  <w:t>按照“以民为本、为民解困、为民服务”的司法工作要求，紧紧围绕基层和群众关心、涉及基层和群众利益的事项，进一步优化司法业务办理流程，提高办事效率，认真落实限时办结制，压缩办事时限，最大限度地提供便捷高效服务。凡是有法律法规规定的要“依法办”;职责内该办的要“快速办”;敏感问题要“透明办”，确保做到工作高效便捷，群众满意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 w:firstLine="640" w:firstLineChars="200"/>
        <w:jc w:val="both"/>
        <w:rPr>
          <w:rFonts w:hint="eastAsia" w:ascii="楷体_GB2312" w:hAnsi="宋体" w:eastAsia="楷体_GB2312" w:cs="宋体"/>
          <w:b/>
          <w:bCs/>
          <w:color w:val="000000"/>
          <w:kern w:val="0"/>
          <w:sz w:val="32"/>
        </w:rPr>
      </w:pPr>
      <w:r>
        <w:rPr>
          <w:rFonts w:hint="eastAsia" w:ascii="仿宋" w:hAnsi="仿宋" w:eastAsia="仿宋" w:cstheme="minorBidi"/>
          <w:b w:val="0"/>
          <w:bCs w:val="0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  <w:t>四是</w:t>
      </w:r>
      <w:r>
        <w:rPr>
          <w:rFonts w:hint="default" w:ascii="仿宋" w:hAnsi="仿宋" w:eastAsia="仿宋" w:cstheme="minorBidi"/>
          <w:b w:val="0"/>
          <w:bCs w:val="0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  <w:t>认真梳理，逐步扩大公开内容。</w:t>
      </w:r>
      <w:r>
        <w:rPr>
          <w:rFonts w:hint="default" w:ascii="仿宋" w:hAnsi="仿宋" w:eastAsia="仿宋" w:cstheme="minorBidi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  <w:t>努力规范工作流程。按照“公开为原则，不公开为例外”的总体要求，进一步梳理局机关以及局属</w:t>
      </w:r>
      <w:r>
        <w:rPr>
          <w:rFonts w:hint="eastAsia" w:ascii="仿宋" w:hAnsi="仿宋" w:eastAsia="仿宋" w:cstheme="minorBidi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  <w:t>部门</w:t>
      </w:r>
      <w:r>
        <w:rPr>
          <w:rFonts w:hint="default" w:ascii="仿宋" w:hAnsi="仿宋" w:eastAsia="仿宋" w:cstheme="minorBidi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  <w:t>具有依法行使行政职权的</w:t>
      </w:r>
      <w:r>
        <w:rPr>
          <w:rFonts w:hint="eastAsia" w:ascii="仿宋" w:hAnsi="仿宋" w:eastAsia="仿宋" w:cstheme="minorBidi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  <w:t>部门</w:t>
      </w:r>
      <w:r>
        <w:rPr>
          <w:rFonts w:hint="default" w:ascii="仿宋" w:hAnsi="仿宋" w:eastAsia="仿宋" w:cstheme="minorBidi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  <w:t>所掌握的政务信息，对政务信息公开目录进行补充完善，及时提供，定期维护，保证公开信息的完整性和准确性。确保政务信息公开工作能按照既定的工作流程有效运作，提高我局开展工作的科学化、民主化。</w:t>
      </w:r>
    </w:p>
    <w:p>
      <w:pPr>
        <w:widowControl/>
        <w:shd w:val="clear" w:color="auto" w:fill="FFFFFF"/>
        <w:spacing w:line="561" w:lineRule="atLeast"/>
        <w:ind w:firstLine="321" w:firstLineChars="100"/>
        <w:jc w:val="left"/>
        <w:rPr>
          <w:rFonts w:ascii="楷体_GB2312" w:hAnsi="宋体" w:eastAsia="楷体_GB2312" w:cs="宋体"/>
          <w:b/>
          <w:bCs/>
          <w:color w:val="000000"/>
          <w:kern w:val="0"/>
          <w:sz w:val="32"/>
        </w:rPr>
      </w:pP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</w:rPr>
        <w:t>（二）改进措施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 w:firstLine="640" w:firstLineChars="200"/>
        <w:jc w:val="both"/>
        <w:rPr>
          <w:rFonts w:hint="eastAsia" w:ascii="仿宋" w:hAnsi="仿宋" w:eastAsia="仿宋" w:cstheme="minorBidi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</w:pPr>
      <w:r>
        <w:rPr>
          <w:rFonts w:hint="eastAsia" w:ascii="仿宋" w:hAnsi="仿宋" w:eastAsia="仿宋" w:cstheme="minorBidi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  <w:t>一是牢固树立以公开促工作的理念。充分认识做好政府信息公开工作的重大意义，切实转变思想观念，增强工作主动性和自觉性，以政府信息公开服务领导决策、服务中心工作开展、服务人民群众信息需求，着力做到以公开促公正、以公开立公信，维护法治单位、透明单位的良好形象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 w:firstLine="640" w:firstLineChars="200"/>
        <w:jc w:val="both"/>
        <w:rPr>
          <w:rFonts w:hint="eastAsia" w:ascii="仿宋" w:hAnsi="仿宋" w:eastAsia="仿宋" w:cstheme="minorBidi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</w:pPr>
      <w:r>
        <w:rPr>
          <w:rFonts w:hint="eastAsia" w:ascii="仿宋" w:hAnsi="仿宋" w:eastAsia="仿宋" w:cstheme="minorBidi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  <w:t>二是着力提升部门信息公开工作实效。根据国务院办公厅印发的《〈关于全面推进政务公开工作的意见〉实施细则》和省相关文件精神，落实我县全面推进政务公开工作的意见的实施细则。进一步深化群众关注的重点领域信息公开，明确各领域公开内容，修订完善主动公开目录，确保应公开尽公开。加大对部门重点工作、重要决策部署、重大改革措施的解读力度，及时关注舆情，回应社会关切。积极稳妥推进部门信息数据开放共享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 w:firstLine="640" w:firstLineChars="200"/>
        <w:jc w:val="both"/>
        <w:rPr>
          <w:rFonts w:hint="eastAsia" w:ascii="仿宋" w:hAnsi="仿宋" w:eastAsia="仿宋" w:cstheme="minorBidi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</w:pPr>
      <w:r>
        <w:rPr>
          <w:rFonts w:hint="eastAsia" w:ascii="仿宋" w:hAnsi="仿宋" w:eastAsia="仿宋" w:cstheme="minorBidi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  <w:t>三是深入开展部门信息公开方法举措创新。进一步整合优化信息公开平台，围绕公众关切梳理、整合各类信息，建设相关专题，使群众获取信息更加便捷；加强对“互联网+”、微博、微信等新技术、新媒体的学习和应用，推进互联网和部门信息公开工作的深度融合，运用网络客户端、微博、微信主动及时向社会群众公开热点信息。</w:t>
      </w:r>
    </w:p>
    <w:p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六、</w:t>
      </w:r>
      <w:r>
        <w:rPr>
          <w:rFonts w:hint="eastAsia" w:ascii="黑体" w:hAnsi="黑体" w:eastAsia="黑体" w:cs="宋体"/>
          <w:color w:val="000000"/>
          <w:kern w:val="0"/>
          <w:sz w:val="32"/>
          <w:lang w:eastAsia="zh-CN"/>
        </w:rPr>
        <w:t>无</w:t>
      </w:r>
      <w:r>
        <w:rPr>
          <w:rFonts w:hint="eastAsia" w:ascii="黑体" w:hAnsi="黑体" w:eastAsia="黑体" w:cs="宋体"/>
          <w:color w:val="000000"/>
          <w:kern w:val="0"/>
          <w:sz w:val="32"/>
        </w:rPr>
        <w:t>其他需要报告的事项</w:t>
      </w:r>
    </w:p>
    <w:p>
      <w:pPr>
        <w:widowControl/>
        <w:shd w:val="clear" w:color="auto" w:fill="FFFFFF"/>
        <w:spacing w:line="561" w:lineRule="atLeast"/>
        <w:jc w:val="left"/>
        <w:rPr>
          <w:rFonts w:hint="eastAsia" w:eastAsia="楷体_GB2312"/>
          <w:lang w:eastAsia="zh-CN"/>
        </w:rPr>
      </w:pPr>
    </w:p>
    <w:p>
      <w:pPr>
        <w:widowControl/>
        <w:shd w:val="clear" w:color="auto" w:fill="FFFFFF"/>
        <w:spacing w:line="561" w:lineRule="atLeast"/>
        <w:ind w:firstLine="480"/>
        <w:jc w:val="center"/>
        <w:rPr>
          <w:rFonts w:hint="eastAsia" w:ascii="仿宋" w:hAnsi="仿宋" w:eastAsia="仿宋" w:cstheme="minorBidi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</w:pPr>
      <w:r>
        <w:rPr>
          <w:rFonts w:hint="eastAsia" w:ascii="仿宋" w:hAnsi="仿宋" w:eastAsia="仿宋" w:cstheme="minorBidi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  <w:t xml:space="preserve">                                    尖扎县司法局</w:t>
      </w:r>
    </w:p>
    <w:p>
      <w:pPr>
        <w:widowControl/>
        <w:shd w:val="clear" w:color="auto" w:fill="FFFFFF"/>
        <w:spacing w:line="561" w:lineRule="atLeast"/>
        <w:ind w:firstLine="480"/>
        <w:jc w:val="right"/>
        <w:rPr>
          <w:rFonts w:hint="default" w:ascii="仿宋" w:hAnsi="仿宋" w:eastAsia="仿宋" w:cstheme="minorBidi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</w:pPr>
      <w:r>
        <w:rPr>
          <w:rFonts w:hint="eastAsia" w:ascii="仿宋" w:hAnsi="仿宋" w:eastAsia="仿宋" w:cstheme="minorBidi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  <w:t>2021年4月25日</w:t>
      </w:r>
    </w:p>
    <w:sectPr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BA69D3"/>
    <w:multiLevelType w:val="singleLevel"/>
    <w:tmpl w:val="62BA69D3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4F8"/>
    <w:rsid w:val="00311377"/>
    <w:rsid w:val="00315013"/>
    <w:rsid w:val="005807B6"/>
    <w:rsid w:val="00730401"/>
    <w:rsid w:val="007C6AFF"/>
    <w:rsid w:val="00A014F8"/>
    <w:rsid w:val="00AA4DAF"/>
    <w:rsid w:val="00C86AD6"/>
    <w:rsid w:val="00E531F7"/>
    <w:rsid w:val="00FC4F54"/>
    <w:rsid w:val="011C6140"/>
    <w:rsid w:val="02F271A2"/>
    <w:rsid w:val="03B45422"/>
    <w:rsid w:val="042916F3"/>
    <w:rsid w:val="04B1398D"/>
    <w:rsid w:val="06242BAA"/>
    <w:rsid w:val="06811475"/>
    <w:rsid w:val="06E94C5B"/>
    <w:rsid w:val="0866638B"/>
    <w:rsid w:val="099E100C"/>
    <w:rsid w:val="0B0E1193"/>
    <w:rsid w:val="0B4E47DF"/>
    <w:rsid w:val="0B844250"/>
    <w:rsid w:val="0BED084C"/>
    <w:rsid w:val="0E734444"/>
    <w:rsid w:val="0EB60A21"/>
    <w:rsid w:val="11515193"/>
    <w:rsid w:val="12D671E2"/>
    <w:rsid w:val="14D3443E"/>
    <w:rsid w:val="14FD4D6D"/>
    <w:rsid w:val="15823AED"/>
    <w:rsid w:val="15B31469"/>
    <w:rsid w:val="167253D5"/>
    <w:rsid w:val="16983398"/>
    <w:rsid w:val="17720DEC"/>
    <w:rsid w:val="17CA294B"/>
    <w:rsid w:val="17DC4620"/>
    <w:rsid w:val="186D3BCB"/>
    <w:rsid w:val="19586639"/>
    <w:rsid w:val="19787576"/>
    <w:rsid w:val="1ACC7592"/>
    <w:rsid w:val="1B40703A"/>
    <w:rsid w:val="1B9E7B51"/>
    <w:rsid w:val="1BBF26F3"/>
    <w:rsid w:val="1D0C1462"/>
    <w:rsid w:val="1E166383"/>
    <w:rsid w:val="1E494D8E"/>
    <w:rsid w:val="1F4157FB"/>
    <w:rsid w:val="1F4963A9"/>
    <w:rsid w:val="1F6C1D0D"/>
    <w:rsid w:val="200C6F05"/>
    <w:rsid w:val="217276AF"/>
    <w:rsid w:val="240912E2"/>
    <w:rsid w:val="242E5F9D"/>
    <w:rsid w:val="243F529B"/>
    <w:rsid w:val="25B969DD"/>
    <w:rsid w:val="26663E64"/>
    <w:rsid w:val="26B619A5"/>
    <w:rsid w:val="271829AD"/>
    <w:rsid w:val="28071573"/>
    <w:rsid w:val="28A57358"/>
    <w:rsid w:val="29C63F70"/>
    <w:rsid w:val="2A460DD4"/>
    <w:rsid w:val="2AF50301"/>
    <w:rsid w:val="2AF8274D"/>
    <w:rsid w:val="2BBC255B"/>
    <w:rsid w:val="2C07506F"/>
    <w:rsid w:val="2C46720F"/>
    <w:rsid w:val="2C646783"/>
    <w:rsid w:val="2D190777"/>
    <w:rsid w:val="2D9707D7"/>
    <w:rsid w:val="2DDD6C87"/>
    <w:rsid w:val="2DEA47E4"/>
    <w:rsid w:val="2E654839"/>
    <w:rsid w:val="31414F5F"/>
    <w:rsid w:val="353162C1"/>
    <w:rsid w:val="370B254A"/>
    <w:rsid w:val="38711C52"/>
    <w:rsid w:val="38B8147C"/>
    <w:rsid w:val="38DE333D"/>
    <w:rsid w:val="3A383C6A"/>
    <w:rsid w:val="3AB44310"/>
    <w:rsid w:val="3B346A0E"/>
    <w:rsid w:val="3B3E2ABE"/>
    <w:rsid w:val="3B4729A4"/>
    <w:rsid w:val="3BAE145B"/>
    <w:rsid w:val="3D9A18DE"/>
    <w:rsid w:val="3DAC5962"/>
    <w:rsid w:val="3DBA73B6"/>
    <w:rsid w:val="3E000DDF"/>
    <w:rsid w:val="3E625D7C"/>
    <w:rsid w:val="3EC149BA"/>
    <w:rsid w:val="3FD7123A"/>
    <w:rsid w:val="40220462"/>
    <w:rsid w:val="407A5094"/>
    <w:rsid w:val="40BA37D0"/>
    <w:rsid w:val="414A5A99"/>
    <w:rsid w:val="415F5C33"/>
    <w:rsid w:val="42013E58"/>
    <w:rsid w:val="42486270"/>
    <w:rsid w:val="428E6063"/>
    <w:rsid w:val="452B38DC"/>
    <w:rsid w:val="45D83B43"/>
    <w:rsid w:val="461B7E1E"/>
    <w:rsid w:val="46651F48"/>
    <w:rsid w:val="46AC5640"/>
    <w:rsid w:val="46D746D2"/>
    <w:rsid w:val="48AF5279"/>
    <w:rsid w:val="4A3A1D51"/>
    <w:rsid w:val="4A87142B"/>
    <w:rsid w:val="4C387722"/>
    <w:rsid w:val="50FC1A5F"/>
    <w:rsid w:val="51815253"/>
    <w:rsid w:val="520A7B92"/>
    <w:rsid w:val="526F202D"/>
    <w:rsid w:val="52DC1D0B"/>
    <w:rsid w:val="53261CA3"/>
    <w:rsid w:val="536827D0"/>
    <w:rsid w:val="536E216F"/>
    <w:rsid w:val="53E06223"/>
    <w:rsid w:val="545E03B7"/>
    <w:rsid w:val="5470224D"/>
    <w:rsid w:val="54F80F28"/>
    <w:rsid w:val="561B2A33"/>
    <w:rsid w:val="5653732D"/>
    <w:rsid w:val="573D5E29"/>
    <w:rsid w:val="5887005B"/>
    <w:rsid w:val="59AC12F4"/>
    <w:rsid w:val="5ACD1DF6"/>
    <w:rsid w:val="5BE32E45"/>
    <w:rsid w:val="5BFF0E41"/>
    <w:rsid w:val="5EDD7E78"/>
    <w:rsid w:val="62DD0DF2"/>
    <w:rsid w:val="63B214CD"/>
    <w:rsid w:val="63C71C9E"/>
    <w:rsid w:val="64E84810"/>
    <w:rsid w:val="670023F5"/>
    <w:rsid w:val="676A4DF4"/>
    <w:rsid w:val="676A7015"/>
    <w:rsid w:val="678A57DB"/>
    <w:rsid w:val="67EB0421"/>
    <w:rsid w:val="6BC04ABA"/>
    <w:rsid w:val="6C966F10"/>
    <w:rsid w:val="6CBC69C2"/>
    <w:rsid w:val="6E534E81"/>
    <w:rsid w:val="6EBA76F5"/>
    <w:rsid w:val="6F1045F7"/>
    <w:rsid w:val="6F6F52DD"/>
    <w:rsid w:val="6FB74714"/>
    <w:rsid w:val="700609EA"/>
    <w:rsid w:val="70A76F74"/>
    <w:rsid w:val="70CA4FE6"/>
    <w:rsid w:val="72F11DBB"/>
    <w:rsid w:val="73970EEE"/>
    <w:rsid w:val="74DA1CBC"/>
    <w:rsid w:val="754105F3"/>
    <w:rsid w:val="758B51E9"/>
    <w:rsid w:val="75C428FF"/>
    <w:rsid w:val="75F82F2C"/>
    <w:rsid w:val="76E32771"/>
    <w:rsid w:val="7758787A"/>
    <w:rsid w:val="791C04B5"/>
    <w:rsid w:val="79562A2A"/>
    <w:rsid w:val="7AED369A"/>
    <w:rsid w:val="7B9656B8"/>
    <w:rsid w:val="7CFD7A10"/>
    <w:rsid w:val="7D8A6B7F"/>
    <w:rsid w:val="7E477B4C"/>
    <w:rsid w:val="7F3F05BF"/>
    <w:rsid w:val="7F9B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6" w:lineRule="exact"/>
      <w:jc w:val="both"/>
    </w:pPr>
    <w:rPr>
      <w:rFonts w:asciiTheme="minorHAnsi" w:hAnsiTheme="minorHAnsi" w:eastAsiaTheme="minorEastAsia" w:cstheme="minorBidi"/>
      <w:kern w:val="2"/>
      <w:sz w:val="21"/>
      <w:szCs w:val="32"/>
      <w:lang w:val="en-US" w:eastAsia="zh-CN" w:bidi="bo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26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26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7">
    <w:name w:val="p"/>
    <w:basedOn w:val="1"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26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234</Words>
  <Characters>1337</Characters>
  <Lines>11</Lines>
  <Paragraphs>3</Paragraphs>
  <TotalTime>46</TotalTime>
  <ScaleCrop>false</ScaleCrop>
  <LinksUpToDate>false</LinksUpToDate>
  <CharactersWithSpaces>1568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2021-04-23T06:56:00Z</dcterms:created>
  <dc:creator>未定义</dc:creator>
  <cp:lastModifiedBy>Administrator</cp:lastModifiedBy>
  <cp:lastPrinted>2021-04-25T04:05:00Z</cp:lastPrinted>
  <dcterms:modified xsi:type="dcterms:W3CDTF">2021-04-26T09:06:36Z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26572830C13043AFA6ECB0612EDA7531</vt:lpwstr>
  </property>
</Properties>
</file>